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73FB" w:rsidP="00605039">
      <w:pPr>
        <w:jc w:val="center"/>
        <w:rPr>
          <w:rFonts w:ascii="Times New Roman" w:hAnsi="Times New Roman" w:cs="Times New Roman"/>
          <w:sz w:val="24"/>
        </w:rPr>
      </w:pPr>
    </w:p>
    <w:p w:rsidR="006C73FB" w:rsidP="00605039">
      <w:pPr>
        <w:jc w:val="center"/>
        <w:rPr>
          <w:rFonts w:ascii="Times New Roman" w:hAnsi="Times New Roman" w:cs="Times New Roman"/>
          <w:sz w:val="24"/>
        </w:rPr>
      </w:pPr>
    </w:p>
    <w:p w:rsidR="006C73FB" w:rsidP="00605039">
      <w:pPr>
        <w:jc w:val="center"/>
        <w:rPr>
          <w:rFonts w:ascii="Times New Roman" w:hAnsi="Times New Roman" w:cs="Times New Roman"/>
          <w:sz w:val="24"/>
        </w:rPr>
      </w:pPr>
    </w:p>
    <w:p w:rsidR="006C73FB" w:rsidP="00605039">
      <w:pPr>
        <w:jc w:val="center"/>
        <w:rPr>
          <w:rFonts w:ascii="Times New Roman" w:hAnsi="Times New Roman" w:cs="Times New Roman"/>
          <w:sz w:val="24"/>
        </w:rPr>
      </w:pPr>
    </w:p>
    <w:p w:rsidR="006C73FB" w:rsidP="00605039">
      <w:pPr>
        <w:jc w:val="center"/>
        <w:rPr>
          <w:rFonts w:ascii="Times New Roman" w:hAnsi="Times New Roman" w:cs="Times New Roman"/>
          <w:sz w:val="24"/>
        </w:rPr>
      </w:pPr>
    </w:p>
    <w:p w:rsidR="006C73FB" w:rsidP="00605039">
      <w:pPr>
        <w:jc w:val="center"/>
        <w:rPr>
          <w:rFonts w:ascii="Times New Roman" w:hAnsi="Times New Roman" w:cs="Times New Roman"/>
          <w:sz w:val="24"/>
        </w:rPr>
      </w:pPr>
    </w:p>
    <w:p w:rsidR="006C73FB" w:rsidP="00605039">
      <w:pPr>
        <w:jc w:val="center"/>
        <w:rPr>
          <w:rFonts w:ascii="Times New Roman" w:hAnsi="Times New Roman" w:cs="Times New Roman"/>
          <w:sz w:val="24"/>
        </w:rPr>
      </w:pPr>
    </w:p>
    <w:p w:rsidR="00D97DE8" w:rsidRPr="00D97DE8" w:rsidP="00605039">
      <w:pPr>
        <w:jc w:val="center"/>
        <w:rPr>
          <w:rFonts w:ascii="Times New Roman" w:hAnsi="Times New Roman" w:cs="Times New Roman"/>
          <w:sz w:val="24"/>
        </w:rPr>
      </w:pPr>
      <w:r w:rsidRPr="00D97DE8">
        <w:rPr>
          <w:rFonts w:ascii="Times New Roman" w:eastAsia="Times New Roman" w:hAnsi="Times New Roman" w:cs="Times New Roman"/>
          <w:color w:val="212529"/>
          <w:sz w:val="24"/>
          <w:szCs w:val="21"/>
        </w:rPr>
        <w:t>Gender Responsiveness</w:t>
      </w:r>
      <w:r w:rsidRPr="00D97DE8">
        <w:rPr>
          <w:rFonts w:ascii="Times New Roman" w:hAnsi="Times New Roman" w:cs="Times New Roman"/>
          <w:sz w:val="24"/>
        </w:rPr>
        <w:t xml:space="preserve"> </w:t>
      </w:r>
    </w:p>
    <w:p w:rsidR="00605039" w:rsidRPr="00A75278" w:rsidP="00605039">
      <w:pPr>
        <w:jc w:val="center"/>
        <w:rPr>
          <w:rFonts w:ascii="Times New Roman" w:hAnsi="Times New Roman" w:cs="Times New Roman"/>
          <w:sz w:val="24"/>
        </w:rPr>
      </w:pPr>
      <w:r w:rsidRPr="00A75278">
        <w:rPr>
          <w:rFonts w:ascii="Times New Roman" w:hAnsi="Times New Roman" w:cs="Times New Roman"/>
          <w:sz w:val="24"/>
        </w:rPr>
        <w:t>By (Name)</w:t>
      </w:r>
    </w:p>
    <w:p w:rsidR="00605039" w:rsidRPr="00A75278" w:rsidP="00605039">
      <w:pPr>
        <w:jc w:val="center"/>
        <w:rPr>
          <w:rFonts w:ascii="Times New Roman" w:hAnsi="Times New Roman" w:cs="Times New Roman"/>
          <w:sz w:val="24"/>
        </w:rPr>
      </w:pPr>
      <w:r w:rsidRPr="00A75278">
        <w:rPr>
          <w:rFonts w:ascii="Times New Roman" w:hAnsi="Times New Roman" w:cs="Times New Roman"/>
          <w:sz w:val="24"/>
        </w:rPr>
        <w:t>Name of the Class</w:t>
      </w:r>
    </w:p>
    <w:p w:rsidR="00605039" w:rsidRPr="00A75278" w:rsidP="00605039">
      <w:pPr>
        <w:jc w:val="center"/>
        <w:rPr>
          <w:rFonts w:ascii="Times New Roman" w:hAnsi="Times New Roman" w:cs="Times New Roman"/>
          <w:sz w:val="24"/>
        </w:rPr>
      </w:pPr>
      <w:r w:rsidRPr="00A75278">
        <w:rPr>
          <w:rFonts w:ascii="Times New Roman" w:hAnsi="Times New Roman" w:cs="Times New Roman"/>
          <w:sz w:val="24"/>
        </w:rPr>
        <w:t>Professor</w:t>
      </w:r>
    </w:p>
    <w:p w:rsidR="00605039" w:rsidRPr="00A75278" w:rsidP="00605039">
      <w:pPr>
        <w:jc w:val="center"/>
        <w:rPr>
          <w:rFonts w:ascii="Times New Roman" w:hAnsi="Times New Roman" w:cs="Times New Roman"/>
          <w:sz w:val="24"/>
        </w:rPr>
      </w:pPr>
      <w:r w:rsidRPr="00A75278">
        <w:rPr>
          <w:rFonts w:ascii="Times New Roman" w:hAnsi="Times New Roman" w:cs="Times New Roman"/>
          <w:sz w:val="24"/>
        </w:rPr>
        <w:t>Name of the School</w:t>
      </w:r>
    </w:p>
    <w:p w:rsidR="00605039" w:rsidP="00605039">
      <w:pPr>
        <w:jc w:val="center"/>
        <w:rPr>
          <w:rFonts w:ascii="Times New Roman" w:hAnsi="Times New Roman" w:cs="Times New Roman"/>
          <w:b/>
          <w:sz w:val="24"/>
          <w:szCs w:val="24"/>
        </w:rPr>
      </w:pPr>
      <w:r w:rsidRPr="00A75278">
        <w:rPr>
          <w:rFonts w:ascii="Times New Roman" w:hAnsi="Times New Roman" w:cs="Times New Roman"/>
          <w:sz w:val="24"/>
        </w:rPr>
        <w:t>Date</w:t>
      </w:r>
    </w:p>
    <w:p w:rsidR="00657212" w:rsidP="00657212">
      <w:pPr>
        <w:ind w:left="57"/>
        <w:jc w:val="center"/>
        <w:rPr>
          <w:rFonts w:ascii="Times New Roman" w:hAnsi="Times New Roman" w:cs="Times New Roman"/>
          <w:b/>
          <w:sz w:val="24"/>
          <w:szCs w:val="24"/>
        </w:rPr>
      </w:pPr>
    </w:p>
    <w:p w:rsidR="006C73FB" w:rsidP="00657212">
      <w:pPr>
        <w:ind w:left="57"/>
        <w:jc w:val="center"/>
        <w:rPr>
          <w:rFonts w:ascii="Times New Roman" w:hAnsi="Times New Roman" w:cs="Times New Roman"/>
          <w:b/>
          <w:sz w:val="24"/>
          <w:szCs w:val="24"/>
        </w:rPr>
      </w:pPr>
    </w:p>
    <w:p w:rsidR="006C73FB" w:rsidP="00657212">
      <w:pPr>
        <w:ind w:left="57"/>
        <w:jc w:val="center"/>
        <w:rPr>
          <w:rFonts w:ascii="Times New Roman" w:hAnsi="Times New Roman" w:cs="Times New Roman"/>
          <w:b/>
          <w:sz w:val="24"/>
          <w:szCs w:val="24"/>
        </w:rPr>
      </w:pPr>
    </w:p>
    <w:p w:rsidR="006C73FB" w:rsidP="00657212">
      <w:pPr>
        <w:ind w:left="57"/>
        <w:jc w:val="center"/>
        <w:rPr>
          <w:rFonts w:ascii="Times New Roman" w:hAnsi="Times New Roman" w:cs="Times New Roman"/>
          <w:b/>
          <w:sz w:val="24"/>
          <w:szCs w:val="24"/>
        </w:rPr>
      </w:pPr>
    </w:p>
    <w:p w:rsidR="006C73FB" w:rsidP="006C73FB">
      <w:pPr>
        <w:rPr>
          <w:rFonts w:ascii="Times New Roman" w:hAnsi="Times New Roman" w:cs="Times New Roman"/>
          <w:b/>
          <w:sz w:val="24"/>
          <w:szCs w:val="24"/>
        </w:rPr>
      </w:pPr>
    </w:p>
    <w:p w:rsidR="006C73FB" w:rsidRPr="006C73FB" w:rsidP="002F58A0">
      <w:pPr>
        <w:ind w:left="57"/>
        <w:jc w:val="center"/>
        <w:rPr>
          <w:rFonts w:ascii="Times New Roman" w:hAnsi="Times New Roman" w:cs="Times New Roman"/>
          <w:b/>
          <w:sz w:val="32"/>
          <w:szCs w:val="24"/>
        </w:rPr>
      </w:pPr>
      <w:r w:rsidRPr="006C73FB">
        <w:rPr>
          <w:rFonts w:ascii="Times New Roman" w:eastAsia="Times New Roman" w:hAnsi="Times New Roman" w:cs="Times New Roman"/>
          <w:b/>
          <w:color w:val="212529"/>
          <w:sz w:val="24"/>
          <w:szCs w:val="21"/>
        </w:rPr>
        <w:t>What is gender responsiveness? Why is it an essential issue in corrections? Explain two of the National Institute of Corrections' recommendations regarding gender responsiveness in prison.</w:t>
      </w:r>
    </w:p>
    <w:p w:rsidR="00657212" w:rsidRPr="002F58A0" w:rsidP="002F58A0">
      <w:pPr>
        <w:jc w:val="center"/>
        <w:rPr>
          <w:rFonts w:ascii="Times New Roman" w:hAnsi="Times New Roman" w:cs="Times New Roman"/>
          <w:sz w:val="24"/>
        </w:rPr>
      </w:pPr>
      <w:r w:rsidRPr="002F58A0">
        <w:rPr>
          <w:rFonts w:ascii="Times New Roman" w:hAnsi="Times New Roman" w:cs="Times New Roman"/>
          <w:sz w:val="24"/>
        </w:rPr>
        <w:t>Solution</w:t>
      </w:r>
    </w:p>
    <w:p w:rsidR="00657212" w:rsidRPr="002F58A0" w:rsidP="002F58A0">
      <w:pPr>
        <w:rPr>
          <w:rFonts w:ascii="Times New Roman" w:hAnsi="Times New Roman" w:cs="Times New Roman"/>
          <w:sz w:val="24"/>
        </w:rPr>
      </w:pPr>
      <w:r w:rsidRPr="002F58A0">
        <w:rPr>
          <w:rFonts w:ascii="Times New Roman" w:hAnsi="Times New Roman" w:cs="Times New Roman"/>
          <w:sz w:val="24"/>
        </w:rPr>
        <w:t>Gender responsiveness refers to outcomes that reflect an understanding of gender roles and inequalities and which make an effort to encourage equal participation and equal an</w:t>
      </w:r>
      <w:r w:rsidRPr="002F58A0" w:rsidR="006C73FB">
        <w:rPr>
          <w:rFonts w:ascii="Times New Roman" w:hAnsi="Times New Roman" w:cs="Times New Roman"/>
          <w:sz w:val="24"/>
        </w:rPr>
        <w:t>d fair distribution of benefits, or it is accomplished through gender analysis and gender inclusiveness.</w:t>
      </w:r>
    </w:p>
    <w:p w:rsidR="00657212" w:rsidRPr="002F58A0" w:rsidP="002F58A0">
      <w:pPr>
        <w:rPr>
          <w:rFonts w:ascii="Times New Roman" w:hAnsi="Times New Roman" w:cs="Times New Roman"/>
          <w:sz w:val="24"/>
        </w:rPr>
      </w:pPr>
      <w:r w:rsidRPr="002F58A0">
        <w:rPr>
          <w:rFonts w:ascii="Times New Roman" w:hAnsi="Times New Roman" w:cs="Times New Roman"/>
          <w:sz w:val="24"/>
        </w:rPr>
        <w:t xml:space="preserve">"Correctional policy and procedure drive decisions in the management and rehabilitation of offender populations. The continuously emerging research on female offenders highlights differences from their male counterparts, particularly in health, mental health, substance abuse, and risk (Redlich &amp; </w:t>
      </w:r>
      <w:r w:rsidRPr="002F58A0">
        <w:rPr>
          <w:rFonts w:ascii="Times New Roman" w:hAnsi="Times New Roman" w:cs="Times New Roman"/>
          <w:sz w:val="24"/>
        </w:rPr>
        <w:t>Shteynberg</w:t>
      </w:r>
      <w:r w:rsidRPr="002F58A0">
        <w:rPr>
          <w:rFonts w:ascii="Times New Roman" w:hAnsi="Times New Roman" w:cs="Times New Roman"/>
          <w:sz w:val="24"/>
        </w:rPr>
        <w:t xml:space="preserve">, 2016). </w:t>
      </w:r>
    </w:p>
    <w:p w:rsidR="001701C8" w:rsidP="001701C8">
      <w:pPr>
        <w:rPr>
          <w:rFonts w:ascii="Times New Roman" w:hAnsi="Times New Roman" w:cs="Times New Roman"/>
          <w:sz w:val="24"/>
          <w:szCs w:val="24"/>
        </w:rPr>
      </w:pPr>
      <w:r w:rsidRPr="002F58A0">
        <w:rPr>
          <w:rFonts w:ascii="Times New Roman" w:hAnsi="Times New Roman" w:cs="Times New Roman"/>
          <w:sz w:val="24"/>
        </w:rPr>
        <w:t>Addressing the realities of women’s lives through gender-responsive policy and practice is fundamental to improved outcomes at all phases of the criminal justice system. The consideration of women’s and men’s different pathways into criminality, their differential responses to custody and supervision, and their differing program requirements can result in a criminal justice system that is better equipped to respond to both men and women offenders.</w:t>
      </w:r>
      <w:r w:rsidRPr="002F58A0" w:rsidR="002F58A0">
        <w:rPr>
          <w:rFonts w:ascii="Times New Roman" w:hAnsi="Times New Roman" w:cs="Times New Roman"/>
          <w:sz w:val="24"/>
        </w:rPr>
        <w:t xml:space="preserve"> Gender-responsive means creating an environment through site selection, staff selection, program development, content, and material that reflects an understanding of the realities of women's lives and addresses the participants' issues. Gender-responsive approaches are multidimensional and are based on theoretical perspectives that acknowledge women's pathways into the criminal justice system. These approaches address social (e.g., poverty, race, class, and gender inequality) and cultural factors, as well as therapeutic interventions. These interventions address abuse, </w:t>
      </w:r>
      <w:r w:rsidRPr="002F58A0" w:rsidR="002F58A0">
        <w:rPr>
          <w:rFonts w:ascii="Times New Roman" w:hAnsi="Times New Roman" w:cs="Times New Roman"/>
          <w:sz w:val="24"/>
        </w:rPr>
        <w:t>violence, family relationships, substance abuse, and co-occurring disorders. They provide a strength-based approach to treatment and skill-building. The emphasis is on self-efficacy.</w:t>
      </w:r>
      <w:r w:rsidRPr="002F58A0">
        <w:rPr>
          <w:rFonts w:ascii="Times New Roman" w:hAnsi="Times New Roman" w:cs="Times New Roman"/>
          <w:sz w:val="24"/>
        </w:rPr>
        <w:t xml:space="preserve"> The guiding principles and strategies are intended to be a blueprint for developing gender-responsive policy and practice. They can serve as the foundation for improving how criminal justice agencies manage and supervise women offenders in institutional and community settings.</w:t>
      </w:r>
      <w:r w:rsidRPr="002F58A0" w:rsidR="002F58A0">
        <w:rPr>
          <w:rFonts w:ascii="Times New Roman" w:hAnsi="Times New Roman" w:cs="Times New Roman"/>
          <w:sz w:val="24"/>
        </w:rPr>
        <w:t xml:space="preserve"> Women are more vulnerable to staff misconduct and have different programming and service needs, primarily physical and mental health, substance abuse, recovery from trauma, and economic/ vocational skills. While all offenders must confront the reentry problems into the community, many of the obstacles faced by women offenders are specifically related to their status as women. The majority of women in correctional institutions are mothers, and significant consideration for these women is reunification with their children. Gender differences have been found in all criminal justice processing stages, including crime definition, reporting, and counting; types of crime; levels of harm; disproportionately women of color. They are less likely than men to have committed violent offenses and more likely to have been convicted of crimes involving drugs or property. Often, their </w:t>
      </w:r>
      <w:r w:rsidRPr="001701C8" w:rsidR="002F58A0">
        <w:rPr>
          <w:rFonts w:ascii="Times New Roman" w:hAnsi="Times New Roman" w:cs="Times New Roman"/>
          <w:sz w:val="24"/>
        </w:rPr>
        <w:t>property offenses are economically driven, motivated by poverty and by the abuse of alcohol and other drugs (</w:t>
      </w:r>
      <w:r w:rsidRPr="001701C8">
        <w:rPr>
          <w:rFonts w:ascii="Times New Roman" w:hAnsi="Times New Roman" w:cs="Times New Roman"/>
          <w:sz w:val="24"/>
        </w:rPr>
        <w:t>Steffensmeier</w:t>
      </w:r>
      <w:r w:rsidRPr="001701C8">
        <w:rPr>
          <w:rFonts w:ascii="Times New Roman" w:hAnsi="Times New Roman" w:cs="Times New Roman"/>
          <w:sz w:val="24"/>
        </w:rPr>
        <w:t xml:space="preserve"> &amp; </w:t>
      </w:r>
      <w:r w:rsidRPr="001701C8">
        <w:rPr>
          <w:rFonts w:ascii="Times New Roman" w:hAnsi="Times New Roman" w:cs="Times New Roman"/>
          <w:sz w:val="24"/>
        </w:rPr>
        <w:t>Streifel</w:t>
      </w:r>
      <w:r w:rsidRPr="001701C8">
        <w:rPr>
          <w:rFonts w:ascii="Times New Roman" w:hAnsi="Times New Roman" w:cs="Times New Roman"/>
          <w:sz w:val="24"/>
        </w:rPr>
        <w:t>, 1989).</w:t>
      </w:r>
    </w:p>
    <w:p w:rsidR="001701C8" w:rsidP="00657212">
      <w:pPr>
        <w:ind w:left="57"/>
        <w:rPr>
          <w:rFonts w:ascii="Times New Roman" w:hAnsi="Times New Roman" w:cs="Times New Roman"/>
          <w:sz w:val="24"/>
          <w:szCs w:val="24"/>
        </w:rPr>
      </w:pPr>
    </w:p>
    <w:p w:rsidR="001701C8" w:rsidRPr="004C686A" w:rsidP="00657212">
      <w:pPr>
        <w:ind w:left="57"/>
        <w:rPr>
          <w:rFonts w:ascii="Times New Roman" w:hAnsi="Times New Roman" w:cs="Times New Roman"/>
          <w:sz w:val="24"/>
          <w:szCs w:val="24"/>
        </w:rPr>
      </w:pPr>
    </w:p>
    <w:p w:rsidR="00657212"/>
    <w:p w:rsidR="001701C8"/>
    <w:p w:rsidR="001701C8"/>
    <w:p w:rsidR="001701C8"/>
    <w:p w:rsidR="00657212" w:rsidP="00657212">
      <w:pPr>
        <w:jc w:val="center"/>
      </w:pPr>
      <w:r>
        <w:t>Reference</w:t>
      </w:r>
    </w:p>
    <w:p w:rsidR="00DF14B0" w:rsidRPr="001701C8" w:rsidP="001701C8">
      <w:pPr>
        <w:ind w:left="720" w:hanging="720"/>
        <w:rPr>
          <w:rFonts w:ascii="Times New Roman" w:hAnsi="Times New Roman" w:cs="Times New Roman"/>
          <w:sz w:val="24"/>
        </w:rPr>
      </w:pPr>
      <w:bookmarkStart w:id="0" w:name="_GoBack"/>
      <w:r w:rsidRPr="001701C8">
        <w:rPr>
          <w:rFonts w:ascii="Times New Roman" w:hAnsi="Times New Roman" w:cs="Times New Roman"/>
          <w:sz w:val="24"/>
        </w:rPr>
        <w:t xml:space="preserve">Redlich, A. D., &amp; </w:t>
      </w:r>
      <w:r w:rsidRPr="001701C8">
        <w:rPr>
          <w:rFonts w:ascii="Times New Roman" w:hAnsi="Times New Roman" w:cs="Times New Roman"/>
          <w:sz w:val="24"/>
        </w:rPr>
        <w:t>Shteynberg</w:t>
      </w:r>
      <w:r w:rsidRPr="001701C8">
        <w:rPr>
          <w:rFonts w:ascii="Times New Roman" w:hAnsi="Times New Roman" w:cs="Times New Roman"/>
          <w:sz w:val="24"/>
        </w:rPr>
        <w:t>, R. V. (2016). To plead or not to plead: A comparison of juvenile and adult true and false plea decisions. Law and Human Behavior, 40(6), 611.</w:t>
      </w:r>
    </w:p>
    <w:p w:rsidR="001701C8" w:rsidRPr="001701C8" w:rsidP="001701C8">
      <w:pPr>
        <w:ind w:left="720" w:hanging="720"/>
        <w:rPr>
          <w:rFonts w:ascii="Times New Roman" w:hAnsi="Times New Roman" w:cs="Times New Roman"/>
          <w:sz w:val="24"/>
        </w:rPr>
      </w:pPr>
      <w:r w:rsidRPr="001701C8">
        <w:rPr>
          <w:rFonts w:ascii="Times New Roman" w:hAnsi="Times New Roman" w:cs="Times New Roman"/>
          <w:sz w:val="24"/>
        </w:rPr>
        <w:t>Steffensmeier</w:t>
      </w:r>
      <w:r w:rsidRPr="001701C8">
        <w:rPr>
          <w:rFonts w:ascii="Times New Roman" w:hAnsi="Times New Roman" w:cs="Times New Roman"/>
          <w:sz w:val="24"/>
        </w:rPr>
        <w:t xml:space="preserve">, D. J., Allan, E. A., </w:t>
      </w:r>
      <w:r w:rsidRPr="001701C8">
        <w:rPr>
          <w:rFonts w:ascii="Times New Roman" w:hAnsi="Times New Roman" w:cs="Times New Roman"/>
          <w:sz w:val="24"/>
        </w:rPr>
        <w:t>Harer</w:t>
      </w:r>
      <w:r w:rsidRPr="001701C8">
        <w:rPr>
          <w:rFonts w:ascii="Times New Roman" w:hAnsi="Times New Roman" w:cs="Times New Roman"/>
          <w:sz w:val="24"/>
        </w:rPr>
        <w:t xml:space="preserve">, M. D., &amp; </w:t>
      </w:r>
      <w:r w:rsidRPr="001701C8">
        <w:rPr>
          <w:rFonts w:ascii="Times New Roman" w:hAnsi="Times New Roman" w:cs="Times New Roman"/>
          <w:sz w:val="24"/>
        </w:rPr>
        <w:t>Streifel</w:t>
      </w:r>
      <w:r w:rsidRPr="001701C8">
        <w:rPr>
          <w:rFonts w:ascii="Times New Roman" w:hAnsi="Times New Roman" w:cs="Times New Roman"/>
          <w:sz w:val="24"/>
        </w:rPr>
        <w:t>, C. (1989). Age and the distribution of crime. American journal of Sociology, 94(4), 803-831.</w:t>
      </w:r>
      <w:bookmarkEnd w:id="0"/>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9205395"/>
      <w:docPartObj>
        <w:docPartGallery w:val="Page Numbers (Top of Page)"/>
        <w:docPartUnique/>
      </w:docPartObj>
    </w:sdtPr>
    <w:sdtEndPr>
      <w:rPr>
        <w:noProof/>
      </w:rPr>
    </w:sdtEndPr>
    <w:sdtContent>
      <w:p w:rsidR="00657212">
        <w:pPr>
          <w:pStyle w:val="Header"/>
          <w:jc w:val="right"/>
        </w:pPr>
        <w:r>
          <w:fldChar w:fldCharType="begin"/>
        </w:r>
        <w:r>
          <w:instrText xml:space="preserve"> PAGE   \* MERGEFORMAT </w:instrText>
        </w:r>
        <w:r>
          <w:fldChar w:fldCharType="separate"/>
        </w:r>
        <w:r w:rsidR="001701C8">
          <w:rPr>
            <w:noProof/>
          </w:rPr>
          <w:t>3</w:t>
        </w:r>
        <w:r>
          <w:rPr>
            <w:noProof/>
          </w:rPr>
          <w:fldChar w:fldCharType="end"/>
        </w:r>
      </w:p>
    </w:sdtContent>
  </w:sdt>
  <w:p w:rsidR="00657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ED5DCF"/>
    <w:multiLevelType w:val="hybridMultilevel"/>
    <w:tmpl w:val="4ACCF4CA"/>
    <w:lvl w:ilvl="0">
      <w:start w:val="1"/>
      <w:numFmt w:val="bullet"/>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1">
    <w:nsid w:val="53617535"/>
    <w:multiLevelType w:val="hybridMultilevel"/>
    <w:tmpl w:val="81FAEA54"/>
    <w:lvl w:ilvl="0">
      <w:start w:val="1"/>
      <w:numFmt w:val="bullet"/>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12"/>
    <w:rsid w:val="001701C8"/>
    <w:rsid w:val="002F58A0"/>
    <w:rsid w:val="003B6816"/>
    <w:rsid w:val="004C686A"/>
    <w:rsid w:val="00513F62"/>
    <w:rsid w:val="00523208"/>
    <w:rsid w:val="005E39F7"/>
    <w:rsid w:val="00605039"/>
    <w:rsid w:val="00657212"/>
    <w:rsid w:val="006C73FB"/>
    <w:rsid w:val="006D6F37"/>
    <w:rsid w:val="00833D69"/>
    <w:rsid w:val="00907B3A"/>
    <w:rsid w:val="009477B8"/>
    <w:rsid w:val="00A75278"/>
    <w:rsid w:val="00B3708C"/>
    <w:rsid w:val="00C64E9B"/>
    <w:rsid w:val="00D55280"/>
    <w:rsid w:val="00D97DE8"/>
    <w:rsid w:val="00DF14B0"/>
    <w:rsid w:val="00E008FE"/>
    <w:rsid w:val="00FD37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E0DD05"/>
  <w15:chartTrackingRefBased/>
  <w15:docId w15:val="{11B3A5F8-D432-4234-A342-85249A0D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212"/>
  </w:style>
  <w:style w:type="paragraph" w:styleId="Footer">
    <w:name w:val="footer"/>
    <w:basedOn w:val="Normal"/>
    <w:link w:val="FooterChar"/>
    <w:uiPriority w:val="99"/>
    <w:unhideWhenUsed/>
    <w:rsid w:val="0065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212"/>
  </w:style>
  <w:style w:type="paragraph" w:styleId="ListParagraph">
    <w:name w:val="List Paragraph"/>
    <w:basedOn w:val="Normal"/>
    <w:uiPriority w:val="34"/>
    <w:qFormat/>
    <w:rsid w:val="00947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LIVERPOOL</dc:creator>
  <cp:lastModifiedBy>LIVERPOOL</cp:lastModifiedBy>
  <cp:revision>13</cp:revision>
  <dcterms:created xsi:type="dcterms:W3CDTF">2021-03-06T18:55:00Z</dcterms:created>
  <dcterms:modified xsi:type="dcterms:W3CDTF">2021-03-17T05:43:00Z</dcterms:modified>
</cp:coreProperties>
</file>